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stradale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Rimborso somme versate erroneamente per violazioni amministrative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il rimborso di somme indebitamente riscosse dall'Ente e relative alle contravvenzioni elevate al C.d.S. o verbali di Polizia Urbana a seguito di presentazione di apposita istanza.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L. 689/1981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